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1C25F" w14:textId="77777777" w:rsidR="00E13253" w:rsidRDefault="00D913B3">
      <w:pPr>
        <w:spacing w:after="0" w:line="259" w:lineRule="auto"/>
        <w:ind w:left="0" w:firstLine="0"/>
        <w:jc w:val="right"/>
      </w:pPr>
      <w:r>
        <w:t xml:space="preserve"> </w:t>
      </w:r>
      <w:r>
        <w:rPr>
          <w:noProof/>
        </w:rPr>
        <w:drawing>
          <wp:inline distT="0" distB="0" distL="0" distR="0" wp14:anchorId="030C14BA" wp14:editId="0183E5E3">
            <wp:extent cx="1530350" cy="963295"/>
            <wp:effectExtent l="0" t="0" r="0" b="0"/>
            <wp:docPr id="134" name="Pictur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1DAA94E" w14:textId="77777777" w:rsidR="00E13253" w:rsidRDefault="00D913B3" w:rsidP="00AD1910">
      <w:pPr>
        <w:spacing w:after="0" w:line="259" w:lineRule="auto"/>
        <w:ind w:left="0" w:firstLine="0"/>
      </w:pPr>
      <w:r>
        <w:t xml:space="preserve"> </w:t>
      </w:r>
    </w:p>
    <w:p w14:paraId="3C9DD34D" w14:textId="221A7254" w:rsidR="00E13253" w:rsidRDefault="00D913B3" w:rsidP="00AD1910">
      <w:pPr>
        <w:spacing w:after="4" w:line="259" w:lineRule="auto"/>
        <w:ind w:left="9" w:hanging="10"/>
      </w:pPr>
      <w:r>
        <w:rPr>
          <w:b/>
        </w:rPr>
        <w:t xml:space="preserve">Job </w:t>
      </w:r>
      <w:r w:rsidR="0004095C">
        <w:rPr>
          <w:b/>
        </w:rPr>
        <w:t>Description:</w:t>
      </w:r>
      <w:r>
        <w:t xml:space="preserve">  </w:t>
      </w:r>
      <w:r w:rsidR="00EB07FA">
        <w:t xml:space="preserve">Business Development </w:t>
      </w:r>
      <w:r>
        <w:t xml:space="preserve">Manager </w:t>
      </w:r>
    </w:p>
    <w:p w14:paraId="0DC01322" w14:textId="77777777" w:rsidR="00E13253" w:rsidRDefault="00D913B3" w:rsidP="00AD1910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1CAAC7E2" w14:textId="77777777" w:rsidR="00E13253" w:rsidRDefault="00D913B3" w:rsidP="00AD1910">
      <w:pPr>
        <w:tabs>
          <w:tab w:val="center" w:pos="2773"/>
        </w:tabs>
        <w:spacing w:after="4" w:line="259" w:lineRule="auto"/>
        <w:ind w:left="-1" w:firstLine="0"/>
      </w:pPr>
      <w:r>
        <w:rPr>
          <w:b/>
        </w:rPr>
        <w:t>Hours:</w:t>
      </w:r>
      <w:r>
        <w:t xml:space="preserve">  </w:t>
      </w:r>
      <w:r>
        <w:tab/>
        <w:t xml:space="preserve">1 FTE  </w:t>
      </w:r>
    </w:p>
    <w:p w14:paraId="34B862B8" w14:textId="3E1E866E" w:rsidR="00E13253" w:rsidRDefault="00D913B3" w:rsidP="00AD1910">
      <w:pPr>
        <w:spacing w:after="10" w:line="259" w:lineRule="auto"/>
        <w:ind w:left="14" w:firstLine="0"/>
      </w:pPr>
      <w:r>
        <w:t xml:space="preserve">  </w:t>
      </w:r>
      <w:r>
        <w:tab/>
        <w:t xml:space="preserve"> </w:t>
      </w:r>
      <w:r>
        <w:rPr>
          <w:b/>
        </w:rPr>
        <w:tab/>
      </w:r>
      <w:r>
        <w:t xml:space="preserve"> </w:t>
      </w:r>
    </w:p>
    <w:p w14:paraId="51ACE180" w14:textId="09A3289B" w:rsidR="00010F8C" w:rsidRDefault="00D913B3" w:rsidP="00AD1910">
      <w:pPr>
        <w:pStyle w:val="Heading1"/>
        <w:tabs>
          <w:tab w:val="center" w:pos="2580"/>
        </w:tabs>
        <w:ind w:left="-1" w:firstLine="0"/>
        <w:rPr>
          <w:b w:val="0"/>
          <w:bCs/>
        </w:rPr>
      </w:pPr>
      <w:r>
        <w:t xml:space="preserve">Spine point: </w:t>
      </w:r>
      <w:r>
        <w:tab/>
      </w:r>
      <w:r w:rsidR="00F7553A">
        <w:t xml:space="preserve"> </w:t>
      </w:r>
      <w:r w:rsidR="00005E09" w:rsidRPr="00005E09">
        <w:rPr>
          <w:b w:val="0"/>
          <w:bCs/>
        </w:rPr>
        <w:t>19</w:t>
      </w:r>
      <w:r w:rsidR="00010F8C">
        <w:rPr>
          <w:b w:val="0"/>
          <w:bCs/>
        </w:rPr>
        <w:t xml:space="preserve"> </w:t>
      </w:r>
    </w:p>
    <w:p w14:paraId="4260AB3B" w14:textId="77777777" w:rsidR="00C22D69" w:rsidRDefault="00C22D69" w:rsidP="00C22D69">
      <w:pPr>
        <w:spacing w:after="7" w:line="259" w:lineRule="auto"/>
        <w:ind w:left="0" w:firstLine="0"/>
        <w:rPr>
          <w:b/>
        </w:rPr>
      </w:pPr>
    </w:p>
    <w:p w14:paraId="09FC143F" w14:textId="290510C2" w:rsidR="00E13253" w:rsidRDefault="00D913B3" w:rsidP="00C22D69">
      <w:pPr>
        <w:spacing w:after="7" w:line="259" w:lineRule="auto"/>
        <w:ind w:left="0" w:firstLine="0"/>
      </w:pPr>
      <w:r>
        <w:rPr>
          <w:b/>
        </w:rPr>
        <w:t xml:space="preserve">Location: </w:t>
      </w:r>
      <w:r w:rsidR="00571313">
        <w:rPr>
          <w:b/>
        </w:rPr>
        <w:t xml:space="preserve">                   </w:t>
      </w:r>
      <w:r w:rsidR="00523E45">
        <w:t xml:space="preserve">Orpington </w:t>
      </w:r>
    </w:p>
    <w:p w14:paraId="26A16465" w14:textId="77777777" w:rsidR="00E13253" w:rsidRDefault="00D913B3" w:rsidP="00AD1910">
      <w:pPr>
        <w:spacing w:after="7" w:line="259" w:lineRule="auto"/>
        <w:ind w:left="14" w:firstLine="0"/>
      </w:pP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</w:p>
    <w:p w14:paraId="18953050" w14:textId="6D020033" w:rsidR="00E13253" w:rsidRDefault="00D913B3" w:rsidP="00AD1910">
      <w:pPr>
        <w:tabs>
          <w:tab w:val="center" w:pos="4873"/>
        </w:tabs>
        <w:ind w:left="0" w:firstLine="0"/>
      </w:pPr>
      <w:r>
        <w:rPr>
          <w:b/>
        </w:rPr>
        <w:t xml:space="preserve">Responsible to: </w:t>
      </w:r>
      <w:r>
        <w:t xml:space="preserve"> </w:t>
      </w:r>
      <w:r w:rsidR="00F81D3B">
        <w:t xml:space="preserve"> </w:t>
      </w:r>
      <w:r w:rsidR="00AB5E50">
        <w:t xml:space="preserve">Director of Employer Engagement and Innovation </w:t>
      </w:r>
    </w:p>
    <w:p w14:paraId="2E6B3AB1" w14:textId="77777777" w:rsidR="00E13253" w:rsidRDefault="00D913B3">
      <w:pPr>
        <w:spacing w:after="0" w:line="259" w:lineRule="auto"/>
        <w:ind w:left="2446" w:firstLine="0"/>
      </w:pPr>
      <w:r>
        <w:t xml:space="preserve"> </w:t>
      </w:r>
    </w:p>
    <w:p w14:paraId="62B752AB" w14:textId="77777777" w:rsidR="00E13253" w:rsidRDefault="00D913B3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2DEB5711" w14:textId="77777777" w:rsidR="00E13253" w:rsidRDefault="00D913B3">
      <w:pPr>
        <w:spacing w:after="4" w:line="259" w:lineRule="auto"/>
        <w:ind w:left="9" w:hanging="10"/>
      </w:pPr>
      <w:r>
        <w:rPr>
          <w:b/>
        </w:rPr>
        <w:t xml:space="preserve">Main purpose of the job:    </w:t>
      </w:r>
    </w:p>
    <w:p w14:paraId="38780510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 </w:t>
      </w:r>
    </w:p>
    <w:p w14:paraId="3F5C06C7" w14:textId="53422AB2" w:rsidR="000E56A4" w:rsidRPr="000E56A4" w:rsidRDefault="000E56A4" w:rsidP="000E56A4">
      <w:pPr>
        <w:numPr>
          <w:ilvl w:val="0"/>
          <w:numId w:val="4"/>
        </w:numPr>
        <w:spacing w:after="0" w:line="259" w:lineRule="auto"/>
        <w:rPr>
          <w:b/>
          <w:bCs/>
        </w:rPr>
      </w:pPr>
      <w:r w:rsidRPr="000E56A4">
        <w:rPr>
          <w:b/>
          <w:bCs/>
        </w:rPr>
        <w:t xml:space="preserve">Reporting Structure: </w:t>
      </w:r>
      <w:r w:rsidRPr="000E56A4">
        <w:t>You will report directly to the Director of Employer Engagement and Innovation, indicating a high level of responsibility and accountability within the organisation.</w:t>
      </w:r>
    </w:p>
    <w:p w14:paraId="487CE047" w14:textId="5D57ACCD" w:rsidR="000E56A4" w:rsidRPr="000E56A4" w:rsidRDefault="000E56A4" w:rsidP="000E56A4">
      <w:pPr>
        <w:numPr>
          <w:ilvl w:val="0"/>
          <w:numId w:val="4"/>
        </w:numPr>
        <w:spacing w:after="0" w:line="259" w:lineRule="auto"/>
      </w:pPr>
      <w:r w:rsidRPr="000E56A4">
        <w:rPr>
          <w:b/>
          <w:bCs/>
        </w:rPr>
        <w:t xml:space="preserve">Target Audience and Targets: </w:t>
      </w:r>
      <w:r w:rsidRPr="000E56A4">
        <w:t>Your primary focus will be on both levy and non-levy organi</w:t>
      </w:r>
      <w:r>
        <w:t>s</w:t>
      </w:r>
      <w:r w:rsidRPr="000E56A4">
        <w:t>ations to ensure you meet and exceed targets.</w:t>
      </w:r>
    </w:p>
    <w:p w14:paraId="79B4D16A" w14:textId="4A3F9B2A" w:rsidR="000E56A4" w:rsidRPr="000E56A4" w:rsidRDefault="000E56A4" w:rsidP="000E56A4">
      <w:pPr>
        <w:numPr>
          <w:ilvl w:val="0"/>
          <w:numId w:val="4"/>
        </w:numPr>
        <w:spacing w:after="0" w:line="259" w:lineRule="auto"/>
      </w:pPr>
      <w:r w:rsidRPr="000E56A4">
        <w:rPr>
          <w:b/>
          <w:bCs/>
        </w:rPr>
        <w:t>Relationship Building:</w:t>
      </w:r>
      <w:r w:rsidRPr="000E56A4">
        <w:t xml:space="preserve"> Your core responsibility involves building and nurturing relationships with employers. This includes both establishing connections with new organi</w:t>
      </w:r>
      <w:r>
        <w:t>s</w:t>
      </w:r>
      <w:r w:rsidRPr="000E56A4">
        <w:t>ations and maintaining rapport with existing ones.</w:t>
      </w:r>
    </w:p>
    <w:p w14:paraId="28D2D69B" w14:textId="77777777" w:rsidR="000E56A4" w:rsidRPr="000E56A4" w:rsidRDefault="000E56A4" w:rsidP="000E56A4">
      <w:pPr>
        <w:numPr>
          <w:ilvl w:val="0"/>
          <w:numId w:val="4"/>
        </w:numPr>
        <w:spacing w:after="0" w:line="259" w:lineRule="auto"/>
      </w:pPr>
      <w:r w:rsidRPr="000E56A4">
        <w:rPr>
          <w:b/>
          <w:bCs/>
        </w:rPr>
        <w:t xml:space="preserve">Objective Alignment: </w:t>
      </w:r>
      <w:r w:rsidRPr="000E56A4">
        <w:t>The overarching goal is to generate levy and non-levy sales activity for various offerings, including apprenticeships, commercial services, T-level engagement, and other products. This highlights the role's direct impact on revenue generation and business growth.</w:t>
      </w:r>
    </w:p>
    <w:p w14:paraId="3B7FBEF7" w14:textId="77777777" w:rsidR="000E56A4" w:rsidRPr="000E56A4" w:rsidRDefault="000E56A4" w:rsidP="000E56A4">
      <w:pPr>
        <w:numPr>
          <w:ilvl w:val="0"/>
          <w:numId w:val="4"/>
        </w:numPr>
        <w:spacing w:after="0" w:line="259" w:lineRule="auto"/>
        <w:rPr>
          <w:b/>
          <w:bCs/>
        </w:rPr>
      </w:pPr>
      <w:r w:rsidRPr="000E56A4">
        <w:rPr>
          <w:b/>
          <w:bCs/>
        </w:rPr>
        <w:t xml:space="preserve">Networking and Engagement: </w:t>
      </w:r>
      <w:r w:rsidRPr="000E56A4">
        <w:t>You are expected to be proactive in meeting, networking, and engaging with employers, demonstrating a hands-on approach to relationship development and business expansion.</w:t>
      </w:r>
    </w:p>
    <w:p w14:paraId="2ECDEE96" w14:textId="77777777" w:rsidR="000E56A4" w:rsidRPr="000E56A4" w:rsidRDefault="000E56A4" w:rsidP="000E56A4">
      <w:pPr>
        <w:numPr>
          <w:ilvl w:val="0"/>
          <w:numId w:val="4"/>
        </w:numPr>
        <w:spacing w:after="0" w:line="259" w:lineRule="auto"/>
      </w:pPr>
      <w:r w:rsidRPr="000E56A4">
        <w:rPr>
          <w:b/>
          <w:bCs/>
        </w:rPr>
        <w:t xml:space="preserve">Business Development: </w:t>
      </w:r>
      <w:r w:rsidRPr="000E56A4">
        <w:t>Your role encompasses that of a Business Development Manager, indicating a focus on identifying and pursuing new business opportunities. This includes actively creating new business avenues to not only meet but exceed targets.</w:t>
      </w:r>
    </w:p>
    <w:p w14:paraId="2D46B6B4" w14:textId="2576ECEC" w:rsidR="000E56A4" w:rsidRPr="000E56A4" w:rsidRDefault="000E56A4" w:rsidP="000E56A4">
      <w:pPr>
        <w:numPr>
          <w:ilvl w:val="0"/>
          <w:numId w:val="4"/>
        </w:numPr>
        <w:spacing w:after="0" w:line="259" w:lineRule="auto"/>
      </w:pPr>
      <w:r w:rsidRPr="000E56A4">
        <w:rPr>
          <w:b/>
          <w:bCs/>
        </w:rPr>
        <w:t>Single Point of Contact</w:t>
      </w:r>
      <w:r w:rsidRPr="000E56A4">
        <w:t xml:space="preserve">: You will serve as the primary contact for employers, particularly concerning new initiatives such as the Non-Levy Small Employers and Apprenticeship Levy, and </w:t>
      </w:r>
      <w:r>
        <w:t xml:space="preserve">any </w:t>
      </w:r>
      <w:r w:rsidRPr="000E56A4">
        <w:t>other funding reforms. This underscores your role as a key liaison between the organi</w:t>
      </w:r>
      <w:r>
        <w:t>s</w:t>
      </w:r>
      <w:r w:rsidRPr="000E56A4">
        <w:t>ation and its employer partners.</w:t>
      </w:r>
    </w:p>
    <w:p w14:paraId="0CDBD270" w14:textId="69B4D664" w:rsidR="000E56A4" w:rsidRPr="000E56A4" w:rsidRDefault="000E56A4" w:rsidP="000E56A4">
      <w:pPr>
        <w:numPr>
          <w:ilvl w:val="0"/>
          <w:numId w:val="4"/>
        </w:numPr>
        <w:spacing w:after="0" w:line="259" w:lineRule="auto"/>
        <w:rPr>
          <w:b/>
          <w:bCs/>
        </w:rPr>
      </w:pPr>
      <w:proofErr w:type="gramStart"/>
      <w:r w:rsidRPr="000E56A4">
        <w:rPr>
          <w:b/>
          <w:bCs/>
        </w:rPr>
        <w:t>Overall</w:t>
      </w:r>
      <w:proofErr w:type="gramEnd"/>
      <w:r w:rsidRPr="000E56A4">
        <w:rPr>
          <w:b/>
          <w:bCs/>
        </w:rPr>
        <w:t xml:space="preserve"> Purpose: </w:t>
      </w:r>
      <w:r w:rsidRPr="000E56A4">
        <w:t>The main purpose of your job is to drive business growth by effectively engaging with employers, fostering relationships, and capitali</w:t>
      </w:r>
      <w:r>
        <w:t>s</w:t>
      </w:r>
      <w:r w:rsidRPr="000E56A4">
        <w:t xml:space="preserve">ing on opportunities to promote and sell various offerings while serving as a </w:t>
      </w:r>
      <w:r w:rsidRPr="000E56A4">
        <w:lastRenderedPageBreak/>
        <w:t>knowledgeable resource on relevant industry developments and initiatives. Crucially, you will actively create new business opportunities to hit and exceed targets</w:t>
      </w:r>
      <w:r w:rsidRPr="000E56A4">
        <w:rPr>
          <w:b/>
          <w:bCs/>
        </w:rPr>
        <w:t>.</w:t>
      </w:r>
    </w:p>
    <w:p w14:paraId="611F3A41" w14:textId="77777777" w:rsidR="00E13253" w:rsidRDefault="00D913B3">
      <w:pPr>
        <w:spacing w:after="0" w:line="259" w:lineRule="auto"/>
        <w:ind w:left="14" w:firstLine="0"/>
      </w:pPr>
      <w:r>
        <w:t xml:space="preserve"> </w:t>
      </w:r>
    </w:p>
    <w:p w14:paraId="060AAFD3" w14:textId="77777777" w:rsidR="00E13253" w:rsidRDefault="00D913B3">
      <w:pPr>
        <w:pStyle w:val="Heading1"/>
        <w:ind w:left="9"/>
      </w:pPr>
      <w:r>
        <w:t xml:space="preserve">Duties and Responsibilities </w:t>
      </w:r>
    </w:p>
    <w:p w14:paraId="6307EDD1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423B65A9" w14:textId="77777777" w:rsidR="00E13253" w:rsidRDefault="00D913B3">
      <w:pPr>
        <w:ind w:left="24" w:right="64" w:hanging="10"/>
      </w:pPr>
      <w:r>
        <w:t xml:space="preserve">The persons appointed will be required to work flexibly within a team environment and will be allocated a range of duties and responsibilities.  The post holders will work closely with Directorate and other College staff and will be allocated a range of duties.  The duties allocated may be varied or changed by the line manager dependent on the needs of the service. </w:t>
      </w:r>
    </w:p>
    <w:p w14:paraId="7BB7CC19" w14:textId="77777777" w:rsidR="00E13253" w:rsidRDefault="00D913B3">
      <w:pPr>
        <w:spacing w:after="0" w:line="259" w:lineRule="auto"/>
        <w:ind w:left="14" w:firstLine="0"/>
      </w:pPr>
      <w:r>
        <w:t xml:space="preserve"> </w:t>
      </w:r>
    </w:p>
    <w:p w14:paraId="551DD4C4" w14:textId="77777777" w:rsidR="00E13253" w:rsidRDefault="00D913B3">
      <w:pPr>
        <w:pStyle w:val="Heading1"/>
        <w:ind w:left="9"/>
      </w:pPr>
      <w:r>
        <w:t xml:space="preserve">Key Responsibilities </w:t>
      </w:r>
    </w:p>
    <w:p w14:paraId="74783C71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2FE7BE19" w14:textId="77777777" w:rsidR="008E4B72" w:rsidRPr="008E4B72" w:rsidRDefault="008E4B72" w:rsidP="00575DFF">
      <w:pPr>
        <w:spacing w:after="0" w:line="259" w:lineRule="auto"/>
        <w:ind w:left="720" w:firstLine="0"/>
        <w:rPr>
          <w:b/>
          <w:bCs/>
        </w:rPr>
      </w:pPr>
    </w:p>
    <w:p w14:paraId="687489DD" w14:textId="12EBBB52" w:rsidR="008E4B72" w:rsidRPr="008E4B72" w:rsidRDefault="008E4B72" w:rsidP="008E4B72">
      <w:pPr>
        <w:numPr>
          <w:ilvl w:val="0"/>
          <w:numId w:val="5"/>
        </w:numPr>
        <w:spacing w:after="0" w:line="259" w:lineRule="auto"/>
        <w:rPr>
          <w:b/>
          <w:bCs/>
        </w:rPr>
      </w:pPr>
      <w:r w:rsidRPr="008E4B72">
        <w:rPr>
          <w:b/>
          <w:bCs/>
        </w:rPr>
        <w:t xml:space="preserve">Identify and Secure Business: </w:t>
      </w:r>
      <w:r w:rsidRPr="008E4B72">
        <w:t>Actively seek out and secure business from both future and existing employers, managing relationships effectively to maximi</w:t>
      </w:r>
      <w:r w:rsidR="00575DFF">
        <w:t>s</w:t>
      </w:r>
      <w:r w:rsidRPr="008E4B72">
        <w:t>e future opportunities and exceed targets. This involves:</w:t>
      </w:r>
    </w:p>
    <w:p w14:paraId="59D9D9BF" w14:textId="77777777" w:rsidR="008E4B72" w:rsidRPr="008E4B72" w:rsidRDefault="008E4B72" w:rsidP="00575DFF">
      <w:pPr>
        <w:spacing w:after="0" w:line="259" w:lineRule="auto"/>
        <w:ind w:left="1440" w:firstLine="0"/>
      </w:pPr>
      <w:r w:rsidRPr="008E4B72">
        <w:rPr>
          <w:b/>
          <w:bCs/>
        </w:rPr>
        <w:t xml:space="preserve">Prospecting: Identify </w:t>
      </w:r>
      <w:r w:rsidRPr="008E4B72">
        <w:t>potential clients through market research, industry events, and networking.</w:t>
      </w:r>
    </w:p>
    <w:p w14:paraId="158354E6" w14:textId="2959A610" w:rsidR="008E4B72" w:rsidRPr="008E4B72" w:rsidRDefault="008E4B72" w:rsidP="00575DFF">
      <w:pPr>
        <w:spacing w:after="0" w:line="259" w:lineRule="auto"/>
        <w:ind w:left="1440" w:firstLine="0"/>
        <w:rPr>
          <w:b/>
          <w:bCs/>
        </w:rPr>
      </w:pPr>
      <w:r w:rsidRPr="008E4B72">
        <w:rPr>
          <w:b/>
          <w:bCs/>
        </w:rPr>
        <w:t xml:space="preserve">Lead Generation: </w:t>
      </w:r>
      <w:r w:rsidRPr="008E4B72">
        <w:t xml:space="preserve">Develop new business opportunities by initiating contact with potential clients through various channels such as email, phone calls, and </w:t>
      </w:r>
      <w:r w:rsidR="00542710">
        <w:t>face to face m</w:t>
      </w:r>
      <w:r w:rsidRPr="008E4B72">
        <w:t>eetings.</w:t>
      </w:r>
      <w:r w:rsidR="00BF1212" w:rsidRPr="00BF1212">
        <w:t xml:space="preserve"> Maintain regular contact with current employers by phone, video call and in person to increase training opportunities.</w:t>
      </w:r>
    </w:p>
    <w:p w14:paraId="2E30F4C8" w14:textId="77777777" w:rsidR="008E4B72" w:rsidRPr="008E4B72" w:rsidRDefault="008E4B72" w:rsidP="00575DFF">
      <w:pPr>
        <w:spacing w:after="0" w:line="259" w:lineRule="auto"/>
        <w:ind w:left="1440" w:firstLine="0"/>
        <w:rPr>
          <w:b/>
          <w:bCs/>
        </w:rPr>
      </w:pPr>
      <w:r w:rsidRPr="008E4B72">
        <w:rPr>
          <w:b/>
          <w:bCs/>
        </w:rPr>
        <w:t>Solution Presentation:</w:t>
      </w:r>
      <w:r w:rsidRPr="008E4B72">
        <w:t xml:space="preserve"> Present tailored solutions to address the needs and pain points of clients, demonstrating the value proposition of the college's offerings</w:t>
      </w:r>
      <w:r w:rsidRPr="008E4B72">
        <w:rPr>
          <w:b/>
          <w:bCs/>
        </w:rPr>
        <w:t>.</w:t>
      </w:r>
    </w:p>
    <w:p w14:paraId="272B61E5" w14:textId="016AECE7" w:rsidR="008E4B72" w:rsidRPr="008E4B72" w:rsidRDefault="008E4B72" w:rsidP="00575DFF">
      <w:pPr>
        <w:spacing w:after="0" w:line="259" w:lineRule="auto"/>
        <w:ind w:left="1440" w:firstLine="0"/>
      </w:pPr>
      <w:r w:rsidRPr="008E4B72">
        <w:rPr>
          <w:b/>
          <w:bCs/>
        </w:rPr>
        <w:t xml:space="preserve">Closing Deals: </w:t>
      </w:r>
      <w:r w:rsidRPr="008E4B72">
        <w:t>Effectively negotiate terms and close deals to secure business, ensuring alignment with organi</w:t>
      </w:r>
      <w:r>
        <w:t>s</w:t>
      </w:r>
      <w:r w:rsidRPr="008E4B72">
        <w:t>ational goals and targets.</w:t>
      </w:r>
    </w:p>
    <w:p w14:paraId="465746E0" w14:textId="77777777" w:rsidR="008E4B72" w:rsidRDefault="008E4B72" w:rsidP="00575DFF">
      <w:pPr>
        <w:spacing w:after="0" w:line="259" w:lineRule="auto"/>
        <w:ind w:left="1440" w:firstLine="0"/>
      </w:pPr>
      <w:r w:rsidRPr="008E4B72">
        <w:rPr>
          <w:b/>
          <w:bCs/>
        </w:rPr>
        <w:t>Follow-up</w:t>
      </w:r>
      <w:r w:rsidRPr="008E4B72">
        <w:t>: Maintain regular communication with clients to ensure satisfaction, address any concerns, and explore additional opportunities for collaboration.</w:t>
      </w:r>
    </w:p>
    <w:p w14:paraId="6ECA372A" w14:textId="77777777" w:rsidR="00871FAA" w:rsidRPr="008E4B72" w:rsidRDefault="00871FAA" w:rsidP="00575DFF">
      <w:pPr>
        <w:spacing w:after="0" w:line="259" w:lineRule="auto"/>
        <w:ind w:left="1440" w:firstLine="0"/>
        <w:rPr>
          <w:b/>
          <w:bCs/>
        </w:rPr>
      </w:pPr>
    </w:p>
    <w:p w14:paraId="416EAFC3" w14:textId="3CB6A324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>
        <w:rPr>
          <w:b/>
          <w:bCs/>
        </w:rPr>
        <w:t>Account</w:t>
      </w:r>
      <w:r w:rsidRPr="00742750">
        <w:rPr>
          <w:b/>
          <w:bCs/>
        </w:rPr>
        <w:t xml:space="preserve"> Management</w:t>
      </w:r>
      <w:r w:rsidRPr="00742750">
        <w:t>: Provide a comprehensive account management service, ensuring regular communication to foster ongoing repeat business by offering a single point of contact within the college.</w:t>
      </w:r>
    </w:p>
    <w:p w14:paraId="4E599B1D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Engagement with Curriculum Teams</w:t>
      </w:r>
      <w:r w:rsidRPr="00742750">
        <w:t>: Collaborate with curriculum teams to promote and encourage work placement opportunities as they arise.</w:t>
      </w:r>
    </w:p>
    <w:p w14:paraId="5EA0881E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Lead Consultant for Large Employers</w:t>
      </w:r>
      <w:r w:rsidRPr="00742750">
        <w:t xml:space="preserve">: Serve as the lead consultant for large employers, delivering timely information, briefings, and presentations on the benefits of partnering with London </w:t>
      </w:r>
      <w:proofErr w:type="gramStart"/>
      <w:r w:rsidRPr="00742750">
        <w:t>South East</w:t>
      </w:r>
      <w:proofErr w:type="gramEnd"/>
      <w:r w:rsidRPr="00742750">
        <w:t xml:space="preserve"> Colleges.</w:t>
      </w:r>
    </w:p>
    <w:p w14:paraId="4F92C5E8" w14:textId="646531DC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Managing Small Employers</w:t>
      </w:r>
      <w:r w:rsidRPr="00742750">
        <w:t xml:space="preserve">: </w:t>
      </w:r>
      <w:r>
        <w:t>M</w:t>
      </w:r>
      <w:r w:rsidRPr="00742750">
        <w:t>anaging small (non-levy) paying employers, ensuring end-to-end training</w:t>
      </w:r>
      <w:r w:rsidR="00CE0DA9">
        <w:t xml:space="preserve"> on Digital Apprenticeship Service</w:t>
      </w:r>
      <w:r w:rsidRPr="00742750">
        <w:t xml:space="preserve"> and recruitment </w:t>
      </w:r>
      <w:r w:rsidRPr="00742750">
        <w:lastRenderedPageBreak/>
        <w:t>needs are met while maintaining a seamless approach to employer engagement.</w:t>
      </w:r>
    </w:p>
    <w:p w14:paraId="4CBF3B68" w14:textId="19648CC6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Needs Analysis and Matching Services</w:t>
      </w:r>
      <w:r w:rsidRPr="00742750">
        <w:t xml:space="preserve">: Meet with employers </w:t>
      </w:r>
      <w:r w:rsidR="00CE0DA9">
        <w:t xml:space="preserve">onsite </w:t>
      </w:r>
      <w:r w:rsidRPr="00742750">
        <w:t>to conduct organi</w:t>
      </w:r>
      <w:r w:rsidR="00CE0DA9">
        <w:t>s</w:t>
      </w:r>
      <w:r w:rsidRPr="00742750">
        <w:t>ational and training needs analyses</w:t>
      </w:r>
      <w:r w:rsidR="00CE0DA9">
        <w:t xml:space="preserve"> (TNA)</w:t>
      </w:r>
      <w:r w:rsidRPr="00742750">
        <w:t>, matching employer needs with college products/services. Achieve targeted conversion rates outlined in team and individual KPIs.</w:t>
      </w:r>
    </w:p>
    <w:p w14:paraId="5F56F4B9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Agreeing on Targets</w:t>
      </w:r>
      <w:r w:rsidRPr="00742750">
        <w:t>: Collaborate with Line Manager to agree on recruitment, activity, and income targets to fulfill contracts and expand college training opportunities.</w:t>
      </w:r>
    </w:p>
    <w:p w14:paraId="25F74549" w14:textId="674FA3C1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Support Marketing Activities</w:t>
      </w:r>
      <w:r w:rsidRPr="00742750">
        <w:t>: Assist in marketing activities for employer engagement, including event attendance, development of promotional materials, and organi</w:t>
      </w:r>
      <w:r w:rsidR="00CE0DA9">
        <w:t>s</w:t>
      </w:r>
      <w:r w:rsidRPr="00742750">
        <w:t>ation of employer-related activities.</w:t>
      </w:r>
    </w:p>
    <w:p w14:paraId="1A29C076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Promotional Activities</w:t>
      </w:r>
      <w:r w:rsidRPr="00742750">
        <w:t>: Undertake direct promotional activities to employers through various communication channels, including visits, cold calling, networking events, social media, and telesales.</w:t>
      </w:r>
    </w:p>
    <w:p w14:paraId="4EC93885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Training Sourcing and Proposals</w:t>
      </w:r>
      <w:r w:rsidRPr="00742750">
        <w:t>: Source training internally or identify external partners, present proposals to employers, agree on costs and training outcomes, and issue contracts or service level agreements.</w:t>
      </w:r>
    </w:p>
    <w:p w14:paraId="188A355D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Lead Negotiator</w:t>
      </w:r>
      <w:r w:rsidRPr="00742750">
        <w:t>: Act as the lead negotiator on training fees, using discretion within agreed costing models.</w:t>
      </w:r>
    </w:p>
    <w:p w14:paraId="092DEB9C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Communication with Course Leaders</w:t>
      </w:r>
      <w:r w:rsidRPr="00742750">
        <w:t>: Liaise with college course leaders or external consultants to communicate employer business needs within training proposals.</w:t>
      </w:r>
    </w:p>
    <w:p w14:paraId="41B46357" w14:textId="1C5C6D04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Labour Market Trends Analysis</w:t>
      </w:r>
      <w:r w:rsidRPr="00742750">
        <w:t xml:space="preserve">: Discuss </w:t>
      </w:r>
      <w:r w:rsidR="002F7835" w:rsidRPr="00742750">
        <w:t>labour</w:t>
      </w:r>
      <w:r w:rsidRPr="00742750">
        <w:t xml:space="preserve"> market trends with employers, utili</w:t>
      </w:r>
      <w:r w:rsidR="002F7835">
        <w:t>s</w:t>
      </w:r>
      <w:r w:rsidRPr="00742750">
        <w:t>ing reports and data sourced from EMSI or other relevant sources.</w:t>
      </w:r>
    </w:p>
    <w:p w14:paraId="4053C5C4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Eligibility Confirmation and Funding Streams</w:t>
      </w:r>
      <w:r w:rsidRPr="00742750">
        <w:t>: Confirm eligibility status of employers and employees, identifying appropriate funding streams and advising on available grants.</w:t>
      </w:r>
    </w:p>
    <w:p w14:paraId="68D6BCC7" w14:textId="25B63492" w:rsidR="00742750" w:rsidRPr="00742750" w:rsidRDefault="002F7835" w:rsidP="00742750">
      <w:pPr>
        <w:numPr>
          <w:ilvl w:val="0"/>
          <w:numId w:val="5"/>
        </w:numPr>
        <w:spacing w:after="0" w:line="259" w:lineRule="auto"/>
      </w:pPr>
      <w:r>
        <w:rPr>
          <w:b/>
          <w:bCs/>
        </w:rPr>
        <w:t>Onboarding</w:t>
      </w:r>
      <w:r w:rsidR="00657F96">
        <w:rPr>
          <w:b/>
          <w:bCs/>
        </w:rPr>
        <w:t xml:space="preserve">, </w:t>
      </w:r>
      <w:r w:rsidR="00657F96" w:rsidRPr="00742750">
        <w:rPr>
          <w:b/>
          <w:bCs/>
        </w:rPr>
        <w:t>Skills Scan</w:t>
      </w:r>
      <w:r w:rsidR="00657F96">
        <w:rPr>
          <w:b/>
          <w:bCs/>
        </w:rPr>
        <w:t>, Training Agreement</w:t>
      </w:r>
      <w:r w:rsidR="00742750" w:rsidRPr="00742750">
        <w:rPr>
          <w:b/>
          <w:bCs/>
        </w:rPr>
        <w:t xml:space="preserve"> and Health &amp; Safety Assessments</w:t>
      </w:r>
      <w:r w:rsidR="00742750" w:rsidRPr="00742750">
        <w:t>: Ensure skills scan completion and conduct Health and Safety assessments of workplaces to ensure candidate safety.</w:t>
      </w:r>
    </w:p>
    <w:p w14:paraId="11151090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Responsive to Issues</w:t>
      </w:r>
      <w:r w:rsidRPr="00742750">
        <w:t>: Address issues and needs promptly to ensure timely resolution.</w:t>
      </w:r>
    </w:p>
    <w:p w14:paraId="702917DC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Quality Service Reporting</w:t>
      </w:r>
      <w:r w:rsidRPr="00742750">
        <w:t>: Report any service quality issues to the appropriate Programme Leader.</w:t>
      </w:r>
    </w:p>
    <w:p w14:paraId="738551EC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CRM Database Maintenance</w:t>
      </w:r>
      <w:r w:rsidRPr="00742750">
        <w:t>: Record activities and contribute to the upkeep of the college Customer Relationship Management (CRM) database.</w:t>
      </w:r>
    </w:p>
    <w:p w14:paraId="5CA4C671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Reporting</w:t>
      </w:r>
      <w:r w:rsidRPr="00742750">
        <w:t>: Produce regular reports on employer engagement activities as requested.</w:t>
      </w:r>
    </w:p>
    <w:p w14:paraId="385DB2B2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Exit Interviews and Impact Measurement</w:t>
      </w:r>
      <w:r w:rsidRPr="00742750">
        <w:t>: Conduct exit interviews with employers to measure training impact and generate further business.</w:t>
      </w:r>
    </w:p>
    <w:p w14:paraId="7D9D21BD" w14:textId="77777777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t>Assistance with Surveys</w:t>
      </w:r>
      <w:r w:rsidRPr="00742750">
        <w:t>: Assist in collating responses for FE choices and other employer satisfaction surveys.</w:t>
      </w:r>
    </w:p>
    <w:p w14:paraId="10245004" w14:textId="5346C299" w:rsidR="00742750" w:rsidRPr="00742750" w:rsidRDefault="00742750" w:rsidP="00742750">
      <w:pPr>
        <w:numPr>
          <w:ilvl w:val="0"/>
          <w:numId w:val="5"/>
        </w:numPr>
        <w:spacing w:after="0" w:line="259" w:lineRule="auto"/>
      </w:pPr>
      <w:r w:rsidRPr="00742750">
        <w:rPr>
          <w:b/>
          <w:bCs/>
        </w:rPr>
        <w:lastRenderedPageBreak/>
        <w:t>Identifying Unaddressed Employer Needs</w:t>
      </w:r>
      <w:r w:rsidRPr="00742750">
        <w:t>: Report on employer needs identified but not yet addressed by the college to support development of demand-led program</w:t>
      </w:r>
      <w:r w:rsidR="00982909">
        <w:t>me</w:t>
      </w:r>
      <w:r w:rsidRPr="00742750">
        <w:t>s.</w:t>
      </w:r>
    </w:p>
    <w:p w14:paraId="154E9683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02F0DFF5" w14:textId="77777777" w:rsidR="00E13253" w:rsidRDefault="00D913B3">
      <w:pPr>
        <w:pStyle w:val="Heading1"/>
        <w:ind w:left="9"/>
      </w:pPr>
      <w:r>
        <w:t xml:space="preserve">General  </w:t>
      </w:r>
    </w:p>
    <w:p w14:paraId="6DCC6E9A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</w:p>
    <w:p w14:paraId="56BBF76B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Attend and contribute to whole college, department or other meetings as required.  </w:t>
      </w:r>
    </w:p>
    <w:p w14:paraId="040F9CD1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Contribute to the preparation of the annual </w:t>
      </w:r>
      <w:r w:rsidR="003E4DC1">
        <w:t>Self-Assessment</w:t>
      </w:r>
      <w:r>
        <w:t xml:space="preserve"> Report (SAR), quality improvement and annual planning arrangements.  </w:t>
      </w:r>
    </w:p>
    <w:p w14:paraId="65FFA257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Attend training and development opportunities as agreed.  </w:t>
      </w:r>
    </w:p>
    <w:p w14:paraId="1B03C816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Maintain student and college data in line with college policies and procedures.  </w:t>
      </w:r>
    </w:p>
    <w:p w14:paraId="7B1FBDB8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Comply with and implement relevant health, safety, security and welfare processes as required by statutory or college procedures.  </w:t>
      </w:r>
    </w:p>
    <w:p w14:paraId="0BBE31DC" w14:textId="77777777" w:rsidR="00E13253" w:rsidRDefault="00D913B3">
      <w:pPr>
        <w:numPr>
          <w:ilvl w:val="0"/>
          <w:numId w:val="2"/>
        </w:numPr>
        <w:ind w:right="64" w:hanging="360"/>
      </w:pPr>
      <w:r>
        <w:t xml:space="preserve">The post holder may be required to perform duties other than those given in the job description for the post. The </w:t>
      </w:r>
      <w:proofErr w:type="gramStart"/>
      <w:r>
        <w:t>particular duties</w:t>
      </w:r>
      <w:proofErr w:type="gramEnd"/>
      <w:r>
        <w:t xml:space="preserve"> and responsibilities attached to posts may vary from time to time without changing the general character of the duties or the level of responsibility entailed. </w:t>
      </w:r>
    </w:p>
    <w:p w14:paraId="1A8B7BB2" w14:textId="77777777" w:rsidR="00E13253" w:rsidRDefault="00D913B3">
      <w:pPr>
        <w:spacing w:after="0" w:line="259" w:lineRule="auto"/>
        <w:ind w:left="374" w:firstLine="0"/>
      </w:pPr>
      <w:r>
        <w:t xml:space="preserve"> </w:t>
      </w:r>
    </w:p>
    <w:p w14:paraId="74152D09" w14:textId="77777777" w:rsidR="00E13253" w:rsidRDefault="00D913B3">
      <w:pPr>
        <w:spacing w:after="0" w:line="259" w:lineRule="auto"/>
        <w:ind w:left="14" w:right="6277" w:firstLine="0"/>
      </w:pP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t xml:space="preserve"> </w:t>
      </w:r>
      <w:r>
        <w:br w:type="page"/>
      </w:r>
    </w:p>
    <w:p w14:paraId="6B6D9626" w14:textId="77777777" w:rsidR="00E13253" w:rsidRDefault="00D913B3">
      <w:pPr>
        <w:spacing w:after="4" w:line="259" w:lineRule="auto"/>
        <w:ind w:left="9" w:hanging="10"/>
      </w:pPr>
      <w:r>
        <w:rPr>
          <w:b/>
        </w:rPr>
        <w:lastRenderedPageBreak/>
        <w:t xml:space="preserve">PERSON SPECIFICATION:  </w:t>
      </w:r>
      <w:r>
        <w:t xml:space="preserve"> </w:t>
      </w:r>
    </w:p>
    <w:p w14:paraId="66260E96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5D0A8827" w14:textId="77777777" w:rsidR="00E13253" w:rsidRDefault="00D913B3">
      <w:pPr>
        <w:spacing w:after="4" w:line="259" w:lineRule="auto"/>
        <w:ind w:left="9" w:hanging="10"/>
      </w:pPr>
      <w:r>
        <w:rPr>
          <w:b/>
        </w:rPr>
        <w:t xml:space="preserve">Qualifications: </w:t>
      </w:r>
      <w:r>
        <w:t xml:space="preserve"> </w:t>
      </w:r>
    </w:p>
    <w:tbl>
      <w:tblPr>
        <w:tblStyle w:val="TableGrid"/>
        <w:tblW w:w="9566" w:type="dxa"/>
        <w:tblInd w:w="-411" w:type="dxa"/>
        <w:tblCellMar>
          <w:top w:w="1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6246"/>
        <w:gridCol w:w="1700"/>
        <w:gridCol w:w="1620"/>
      </w:tblGrid>
      <w:tr w:rsidR="00E13253" w14:paraId="01CF05D4" w14:textId="77777777">
        <w:trPr>
          <w:trHeight w:val="309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161D13" w14:textId="77777777" w:rsidR="00E13253" w:rsidRDefault="00D913B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666B1A" w14:textId="77777777" w:rsidR="00E13253" w:rsidRDefault="00D913B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27680A" w14:textId="77777777" w:rsidR="00E13253" w:rsidRDefault="00D913B3">
            <w:pPr>
              <w:spacing w:after="0" w:line="259" w:lineRule="auto"/>
              <w:ind w:left="2" w:firstLine="0"/>
            </w:pPr>
            <w:r>
              <w:rPr>
                <w:b/>
              </w:rPr>
              <w:t xml:space="preserve">Desirable </w:t>
            </w:r>
            <w:r>
              <w:t xml:space="preserve"> </w:t>
            </w:r>
          </w:p>
        </w:tc>
      </w:tr>
      <w:tr w:rsidR="00E13253" w14:paraId="2A253A7E" w14:textId="77777777">
        <w:trPr>
          <w:trHeight w:val="316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4059" w14:textId="3CA8AE72" w:rsidR="00E13253" w:rsidRDefault="00D913B3">
            <w:pPr>
              <w:spacing w:after="0" w:line="259" w:lineRule="auto"/>
              <w:ind w:left="0" w:firstLine="0"/>
            </w:pPr>
            <w:r>
              <w:t xml:space="preserve">Level 3 or above, preferably in a </w:t>
            </w:r>
            <w:r w:rsidR="00DD77B9">
              <w:t>sales-related</w:t>
            </w:r>
            <w:r>
              <w:t xml:space="preserve"> subject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4883B" w14:textId="77777777" w:rsidR="00E13253" w:rsidRDefault="00D913B3">
            <w:pPr>
              <w:spacing w:after="0" w:line="259" w:lineRule="auto"/>
              <w:ind w:left="82" w:firstLine="0"/>
              <w:jc w:val="center"/>
            </w:pP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AE739" w14:textId="77777777" w:rsidR="00E13253" w:rsidRDefault="00D913B3">
            <w:pPr>
              <w:spacing w:after="0" w:line="259" w:lineRule="auto"/>
              <w:ind w:left="2" w:firstLine="0"/>
            </w:pPr>
            <w:r>
              <w:t xml:space="preserve">√ </w:t>
            </w:r>
          </w:p>
        </w:tc>
      </w:tr>
      <w:tr w:rsidR="00E13253" w14:paraId="1CBF2D50" w14:textId="77777777">
        <w:trPr>
          <w:trHeight w:val="314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1C3DE" w14:textId="77777777" w:rsidR="00E13253" w:rsidRDefault="00D913B3">
            <w:pPr>
              <w:spacing w:after="0" w:line="259" w:lineRule="auto"/>
              <w:ind w:left="0" w:firstLine="0"/>
            </w:pPr>
            <w:r>
              <w:t xml:space="preserve">Level 2 English and maths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42286" w14:textId="77777777" w:rsidR="00E13253" w:rsidRDefault="00D913B3">
            <w:pPr>
              <w:spacing w:after="0" w:line="259" w:lineRule="auto"/>
              <w:ind w:left="12" w:firstLine="0"/>
            </w:pPr>
            <w:r>
              <w:t xml:space="preserve">√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D205B" w14:textId="77777777" w:rsidR="00E13253" w:rsidRDefault="00D913B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E13253" w14:paraId="3CDABC67" w14:textId="77777777">
        <w:trPr>
          <w:trHeight w:val="317"/>
        </w:trPr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0FE8" w14:textId="77777777" w:rsidR="00E13253" w:rsidRDefault="00D913B3">
            <w:pPr>
              <w:spacing w:after="0" w:line="259" w:lineRule="auto"/>
              <w:ind w:left="0" w:firstLine="0"/>
            </w:pPr>
            <w:r>
              <w:t xml:space="preserve">A full driving licence and use of a car 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119CF" w14:textId="77777777" w:rsidR="00E13253" w:rsidRDefault="00D913B3">
            <w:pPr>
              <w:spacing w:after="0" w:line="259" w:lineRule="auto"/>
              <w:ind w:left="2" w:firstLine="0"/>
            </w:pPr>
            <w:r>
              <w:t xml:space="preserve"> √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1501" w14:textId="77777777" w:rsidR="00E13253" w:rsidRDefault="00D913B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2E7A8A9E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2E24A904" w14:textId="77777777" w:rsidR="00E13253" w:rsidRDefault="00D913B3">
      <w:pPr>
        <w:spacing w:after="4" w:line="259" w:lineRule="auto"/>
        <w:ind w:left="9" w:hanging="10"/>
      </w:pPr>
      <w:r>
        <w:rPr>
          <w:b/>
        </w:rPr>
        <w:t xml:space="preserve">Knowledge and experience: </w:t>
      </w:r>
      <w:r>
        <w:t xml:space="preserve"> </w:t>
      </w:r>
    </w:p>
    <w:tbl>
      <w:tblPr>
        <w:tblStyle w:val="TableGrid"/>
        <w:tblW w:w="9566" w:type="dxa"/>
        <w:tblInd w:w="-411" w:type="dxa"/>
        <w:tblCellMar>
          <w:left w:w="5" w:type="dxa"/>
          <w:right w:w="7" w:type="dxa"/>
        </w:tblCellMar>
        <w:tblLook w:val="04A0" w:firstRow="1" w:lastRow="0" w:firstColumn="1" w:lastColumn="0" w:noHBand="0" w:noVBand="1"/>
      </w:tblPr>
      <w:tblGrid>
        <w:gridCol w:w="6866"/>
        <w:gridCol w:w="1423"/>
        <w:gridCol w:w="1277"/>
      </w:tblGrid>
      <w:tr w:rsidR="00E13253" w14:paraId="76977E63" w14:textId="77777777">
        <w:trPr>
          <w:trHeight w:val="308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74BB38" w14:textId="77777777" w:rsidR="00E13253" w:rsidRDefault="00D913B3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3F3919" w14:textId="77777777" w:rsidR="00E13253" w:rsidRDefault="00D913B3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7E412F" w14:textId="77777777" w:rsidR="00E13253" w:rsidRDefault="00D913B3">
            <w:pPr>
              <w:spacing w:after="0" w:line="259" w:lineRule="auto"/>
              <w:ind w:left="101" w:firstLine="0"/>
              <w:jc w:val="both"/>
            </w:pPr>
            <w:r>
              <w:rPr>
                <w:b/>
              </w:rPr>
              <w:t xml:space="preserve">Desirable </w:t>
            </w:r>
          </w:p>
        </w:tc>
      </w:tr>
      <w:tr w:rsidR="00E13253" w14:paraId="40496449" w14:textId="77777777">
        <w:trPr>
          <w:trHeight w:val="614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A5C2" w14:textId="04F6ED08" w:rsidR="00E13253" w:rsidRDefault="00D913B3">
            <w:pPr>
              <w:spacing w:after="0" w:line="259" w:lineRule="auto"/>
              <w:ind w:left="101" w:firstLine="0"/>
            </w:pPr>
            <w:r>
              <w:t xml:space="preserve">Understanding of </w:t>
            </w:r>
            <w:r w:rsidR="00DD77B9">
              <w:t>government-funded</w:t>
            </w:r>
            <w:r>
              <w:t xml:space="preserve"> </w:t>
            </w:r>
            <w:r w:rsidR="00DD77B9">
              <w:t>work-based</w:t>
            </w:r>
            <w:r>
              <w:t xml:space="preserve"> training and commercial products in the FE sector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DED1" w14:textId="77777777" w:rsidR="00E13253" w:rsidRDefault="00D913B3">
            <w:pPr>
              <w:spacing w:after="0" w:line="259" w:lineRule="auto"/>
              <w:ind w:left="62" w:firstLine="0"/>
              <w:jc w:val="center"/>
            </w:pPr>
            <w:r>
              <w:t xml:space="preserve">√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BB82" w14:textId="77777777" w:rsidR="00E13253" w:rsidRDefault="00D913B3">
            <w:pPr>
              <w:spacing w:after="0" w:line="259" w:lineRule="auto"/>
              <w:ind w:left="64" w:firstLine="0"/>
              <w:jc w:val="center"/>
            </w:pPr>
            <w:r>
              <w:t xml:space="preserve"> </w:t>
            </w:r>
          </w:p>
        </w:tc>
      </w:tr>
      <w:tr w:rsidR="00E13253" w14:paraId="5E9DC872" w14:textId="77777777">
        <w:trPr>
          <w:trHeight w:val="31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1A50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Designing and managing targeted sales campaigns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34814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F903" w14:textId="77777777" w:rsidR="00E13253" w:rsidRDefault="00D913B3">
            <w:pPr>
              <w:spacing w:after="0" w:line="259" w:lineRule="auto"/>
              <w:ind w:left="194" w:firstLine="0"/>
              <w:jc w:val="center"/>
            </w:pPr>
            <w:r>
              <w:t xml:space="preserve">  </w:t>
            </w:r>
          </w:p>
        </w:tc>
      </w:tr>
      <w:tr w:rsidR="00E13253" w14:paraId="1D8F951C" w14:textId="77777777">
        <w:trPr>
          <w:trHeight w:val="566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ADE1" w14:textId="39E758B3" w:rsidR="00E13253" w:rsidRDefault="00D913B3">
            <w:pPr>
              <w:spacing w:after="0" w:line="259" w:lineRule="auto"/>
              <w:ind w:left="101" w:right="52" w:firstLine="0"/>
            </w:pPr>
            <w:r>
              <w:t xml:space="preserve">Experience </w:t>
            </w:r>
            <w:r w:rsidR="00DD77B9">
              <w:t>in</w:t>
            </w:r>
            <w:r>
              <w:t xml:space="preserve"> conducting health and safety assessments in the </w:t>
            </w:r>
            <w:r w:rsidR="00DD77B9">
              <w:t>workplace</w:t>
            </w:r>
            <w: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833A" w14:textId="77777777" w:rsidR="00E13253" w:rsidRDefault="00D913B3">
            <w:pPr>
              <w:spacing w:after="0" w:line="259" w:lineRule="auto"/>
              <w:ind w:left="69" w:firstLine="0"/>
              <w:jc w:val="center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36E5" w14:textId="77777777" w:rsidR="00E13253" w:rsidRDefault="00D913B3">
            <w:pPr>
              <w:spacing w:after="0" w:line="259" w:lineRule="auto"/>
              <w:ind w:left="57" w:firstLine="0"/>
              <w:jc w:val="center"/>
            </w:pPr>
            <w:r>
              <w:t xml:space="preserve">√ </w:t>
            </w:r>
          </w:p>
        </w:tc>
      </w:tr>
      <w:tr w:rsidR="00E13253" w14:paraId="1032A385" w14:textId="77777777">
        <w:trPr>
          <w:trHeight w:val="61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0334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Understanding the sales process from initial contact to key account management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FA5ED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D4C3D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E13253" w14:paraId="3F64F78E" w14:textId="77777777">
        <w:trPr>
          <w:trHeight w:val="61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7D340" w14:textId="458AF807" w:rsidR="00E13253" w:rsidRDefault="00D913B3">
            <w:pPr>
              <w:spacing w:after="0" w:line="259" w:lineRule="auto"/>
              <w:ind w:left="101" w:firstLine="0"/>
            </w:pPr>
            <w:r>
              <w:t xml:space="preserve">Ability to plan and manage own </w:t>
            </w:r>
            <w:r w:rsidR="00DD77B9">
              <w:t>workload</w:t>
            </w:r>
            <w:r>
              <w:t xml:space="preserve">, achieve agreed targets and objectives and evaluate outcomes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FEFE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75B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E13253" w14:paraId="10B52C09" w14:textId="77777777">
        <w:trPr>
          <w:trHeight w:val="312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9D469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Ability to plan and deliver sales campaigns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811C" w14:textId="77777777" w:rsidR="00E13253" w:rsidRDefault="00D913B3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C16DF6D" wp14:editId="54863EA5">
                  <wp:extent cx="896112" cy="548640"/>
                  <wp:effectExtent l="0" t="0" r="0" b="0"/>
                  <wp:docPr id="7457" name="Picture 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7" name="Picture 74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D529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E13253" w14:paraId="14589B03" w14:textId="77777777">
        <w:trPr>
          <w:trHeight w:val="314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1A36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Ability to communicate with existing, lapsed and new clients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6531EE" w14:textId="77777777" w:rsidR="00E13253" w:rsidRDefault="00E13253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46A9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E13253" w14:paraId="74BDA8A6" w14:textId="77777777">
        <w:trPr>
          <w:trHeight w:val="610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7EDC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Ability to build effective working relationships and partnerships with internal and external stakeholders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7D4F" w14:textId="77777777" w:rsidR="00E13253" w:rsidRDefault="00E13253">
            <w:pPr>
              <w:spacing w:after="160" w:line="259" w:lineRule="auto"/>
              <w:ind w:left="0" w:firstLine="0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332A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  <w:tr w:rsidR="00E13253" w14:paraId="76252B22" w14:textId="77777777">
        <w:trPr>
          <w:trHeight w:val="314"/>
        </w:trPr>
        <w:tc>
          <w:tcPr>
            <w:tcW w:w="6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D2B4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Ability to utilise and understand the importance of CRM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1A89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B6C3" w14:textId="77777777" w:rsidR="00E13253" w:rsidRDefault="00D913B3">
            <w:pPr>
              <w:spacing w:after="0" w:line="259" w:lineRule="auto"/>
              <w:ind w:left="127" w:firstLine="0"/>
              <w:jc w:val="center"/>
            </w:pPr>
            <w:r>
              <w:t xml:space="preserve"> </w:t>
            </w:r>
          </w:p>
        </w:tc>
      </w:tr>
    </w:tbl>
    <w:p w14:paraId="0AF49E75" w14:textId="77777777" w:rsidR="00E13253" w:rsidRDefault="00D913B3">
      <w:pPr>
        <w:spacing w:after="0" w:line="259" w:lineRule="auto"/>
        <w:ind w:left="14" w:firstLine="0"/>
      </w:pPr>
      <w:r>
        <w:t xml:space="preserve">  </w:t>
      </w:r>
    </w:p>
    <w:p w14:paraId="656F9F94" w14:textId="77777777" w:rsidR="00E13253" w:rsidRDefault="00D913B3">
      <w:pPr>
        <w:spacing w:after="4" w:line="259" w:lineRule="auto"/>
        <w:ind w:left="9" w:hanging="10"/>
      </w:pPr>
      <w:r>
        <w:rPr>
          <w:b/>
        </w:rPr>
        <w:t xml:space="preserve">Other qualities: </w:t>
      </w:r>
      <w:r>
        <w:t xml:space="preserve"> </w:t>
      </w:r>
    </w:p>
    <w:tbl>
      <w:tblPr>
        <w:tblStyle w:val="TableGrid"/>
        <w:tblW w:w="9566" w:type="dxa"/>
        <w:tblInd w:w="-411" w:type="dxa"/>
        <w:tblCellMar>
          <w:top w:w="8" w:type="dxa"/>
          <w:left w:w="5" w:type="dxa"/>
          <w:right w:w="6" w:type="dxa"/>
        </w:tblCellMar>
        <w:tblLook w:val="04A0" w:firstRow="1" w:lastRow="0" w:firstColumn="1" w:lastColumn="0" w:noHBand="0" w:noVBand="1"/>
      </w:tblPr>
      <w:tblGrid>
        <w:gridCol w:w="6875"/>
        <w:gridCol w:w="1422"/>
        <w:gridCol w:w="1269"/>
      </w:tblGrid>
      <w:tr w:rsidR="00E13253" w14:paraId="4B689DCF" w14:textId="77777777">
        <w:trPr>
          <w:trHeight w:val="30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49EFFF" w14:textId="77777777" w:rsidR="00E13253" w:rsidRDefault="00D913B3">
            <w:pPr>
              <w:spacing w:after="0" w:line="259" w:lineRule="auto"/>
              <w:ind w:left="101" w:firstLine="0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88CD72" w14:textId="77777777" w:rsidR="00E13253" w:rsidRDefault="00D913B3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Essential </w:t>
            </w:r>
            <w: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3E7703" w14:textId="77777777" w:rsidR="00E13253" w:rsidRDefault="00D913B3">
            <w:pPr>
              <w:spacing w:after="0" w:line="259" w:lineRule="auto"/>
              <w:ind w:left="102" w:firstLine="0"/>
              <w:jc w:val="both"/>
            </w:pPr>
            <w:r>
              <w:rPr>
                <w:b/>
              </w:rPr>
              <w:t xml:space="preserve">Desirable </w:t>
            </w:r>
          </w:p>
        </w:tc>
      </w:tr>
      <w:tr w:rsidR="00E13253" w14:paraId="1391B1C1" w14:textId="77777777">
        <w:trPr>
          <w:trHeight w:val="61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E160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Drive, energy and enthusiasm to work flexibly in a changing and challenging environment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C4D1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4E74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 </w:t>
            </w:r>
          </w:p>
        </w:tc>
      </w:tr>
      <w:tr w:rsidR="00E13253" w14:paraId="6E797E45" w14:textId="77777777">
        <w:trPr>
          <w:trHeight w:val="614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E518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Commitment to work within the framework of the College’s policies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DBB76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D5D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 </w:t>
            </w:r>
          </w:p>
        </w:tc>
      </w:tr>
      <w:tr w:rsidR="00E13253" w14:paraId="48390C5F" w14:textId="77777777">
        <w:trPr>
          <w:trHeight w:val="613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1613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Commitment to raising the quality of every aspect of </w:t>
            </w:r>
            <w:proofErr w:type="gramStart"/>
            <w:r>
              <w:t>College</w:t>
            </w:r>
            <w:proofErr w:type="gramEnd"/>
            <w:r>
              <w:t xml:space="preserve"> activity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BE3A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BA36A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 </w:t>
            </w:r>
          </w:p>
        </w:tc>
      </w:tr>
      <w:tr w:rsidR="00E13253" w14:paraId="1634C69B" w14:textId="77777777">
        <w:trPr>
          <w:trHeight w:val="314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83CF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Preparedness to take responsibility for and ownership of tasks 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97A3C" w14:textId="77777777" w:rsidR="00E13253" w:rsidRDefault="00D913B3">
            <w:pPr>
              <w:spacing w:after="0" w:line="259" w:lineRule="auto"/>
              <w:ind w:left="0" w:firstLine="0"/>
            </w:pPr>
            <w:r>
              <w:rPr>
                <w:noProof/>
              </w:rPr>
              <w:drawing>
                <wp:inline distT="0" distB="0" distL="0" distR="0" wp14:anchorId="3D1E15CF" wp14:editId="4637862F">
                  <wp:extent cx="896112" cy="445008"/>
                  <wp:effectExtent l="0" t="0" r="0" b="0"/>
                  <wp:docPr id="7456" name="Picture 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56" name="Picture 745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112" cy="445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2810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 </w:t>
            </w:r>
          </w:p>
        </w:tc>
      </w:tr>
      <w:tr w:rsidR="00E13253" w14:paraId="1153CEF4" w14:textId="77777777">
        <w:trPr>
          <w:trHeight w:val="612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3E528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Evidence of a commitment to personal and professional development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CF86" w14:textId="77777777" w:rsidR="00E13253" w:rsidRDefault="00E13253">
            <w:pPr>
              <w:spacing w:after="160" w:line="259" w:lineRule="auto"/>
              <w:ind w:left="0" w:firstLine="0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3707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 </w:t>
            </w:r>
          </w:p>
        </w:tc>
      </w:tr>
      <w:tr w:rsidR="00E13253" w14:paraId="01E5097E" w14:textId="77777777">
        <w:trPr>
          <w:trHeight w:val="869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1E16" w14:textId="77777777" w:rsidR="00E13253" w:rsidRDefault="00D913B3">
            <w:pPr>
              <w:spacing w:after="0" w:line="240" w:lineRule="auto"/>
              <w:ind w:left="101" w:firstLine="0"/>
            </w:pPr>
            <w:r>
              <w:t xml:space="preserve">Self-motivated, able to work on own initiative and achieve results </w:t>
            </w:r>
          </w:p>
          <w:p w14:paraId="788A1BB6" w14:textId="77777777" w:rsidR="00E13253" w:rsidRDefault="00D913B3">
            <w:pPr>
              <w:spacing w:after="0" w:line="259" w:lineRule="auto"/>
              <w:ind w:left="101" w:firstLine="0"/>
            </w:pPr>
            <w: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620A2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C915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</w:tr>
      <w:tr w:rsidR="00E13253" w14:paraId="1BA412D7" w14:textId="77777777">
        <w:trPr>
          <w:trHeight w:val="641"/>
        </w:trPr>
        <w:tc>
          <w:tcPr>
            <w:tcW w:w="6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9D89A" w14:textId="77777777" w:rsidR="00E13253" w:rsidRDefault="00D913B3">
            <w:pPr>
              <w:spacing w:after="0" w:line="259" w:lineRule="auto"/>
              <w:ind w:left="111" w:hanging="10"/>
            </w:pPr>
            <w:r>
              <w:t xml:space="preserve">Excellent interpersonal skills, a good communicator and </w:t>
            </w:r>
            <w:proofErr w:type="gramStart"/>
            <w:r>
              <w:t>well developed</w:t>
            </w:r>
            <w:proofErr w:type="gramEnd"/>
            <w:r>
              <w:t xml:space="preserve"> networking skills 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5DC4" w14:textId="77777777" w:rsidR="00E13253" w:rsidRDefault="00D913B3">
            <w:pPr>
              <w:spacing w:after="0" w:line="259" w:lineRule="auto"/>
              <w:ind w:left="5" w:firstLine="0"/>
              <w:jc w:val="center"/>
            </w:pPr>
            <w:r>
              <w:t xml:space="preserve">√ 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2687" w14:textId="77777777" w:rsidR="00E13253" w:rsidRDefault="00D913B3">
            <w:pPr>
              <w:spacing w:after="0" w:line="259" w:lineRule="auto"/>
              <w:ind w:left="102" w:firstLine="0"/>
            </w:pPr>
            <w:r>
              <w:t xml:space="preserve"> </w:t>
            </w:r>
          </w:p>
        </w:tc>
      </w:tr>
    </w:tbl>
    <w:p w14:paraId="00737715" w14:textId="77777777" w:rsidR="00E13253" w:rsidRDefault="00D913B3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14:paraId="68AC2436" w14:textId="77777777" w:rsidR="00E13253" w:rsidRDefault="00D913B3">
      <w:pPr>
        <w:spacing w:after="0" w:line="259" w:lineRule="auto"/>
        <w:ind w:left="14" w:firstLine="0"/>
      </w:pPr>
      <w:r>
        <w:t xml:space="preserve">  </w:t>
      </w:r>
    </w:p>
    <w:sectPr w:rsidR="00E13253">
      <w:footerReference w:type="even" r:id="rId13"/>
      <w:footerReference w:type="default" r:id="rId14"/>
      <w:footerReference w:type="first" r:id="rId15"/>
      <w:pgSz w:w="11906" w:h="16838"/>
      <w:pgMar w:top="1134" w:right="1270" w:bottom="2148" w:left="1397" w:header="720" w:footer="4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CC2BE" w14:textId="77777777" w:rsidR="00C674AA" w:rsidRDefault="00C674AA">
      <w:pPr>
        <w:spacing w:after="0" w:line="240" w:lineRule="auto"/>
      </w:pPr>
      <w:r>
        <w:separator/>
      </w:r>
    </w:p>
  </w:endnote>
  <w:endnote w:type="continuationSeparator" w:id="0">
    <w:p w14:paraId="0A2773A6" w14:textId="77777777" w:rsidR="00C674AA" w:rsidRDefault="00C6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54899" w14:textId="77777777" w:rsidR="00E13253" w:rsidRDefault="00D913B3">
    <w:pPr>
      <w:spacing w:after="0" w:line="259" w:lineRule="auto"/>
      <w:ind w:left="1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98C4" w14:textId="77777777" w:rsidR="00E13253" w:rsidRDefault="00D913B3">
    <w:pPr>
      <w:spacing w:after="0" w:line="259" w:lineRule="auto"/>
      <w:ind w:left="1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2FEEB" w14:textId="77777777" w:rsidR="00E13253" w:rsidRDefault="00D913B3">
    <w:pPr>
      <w:spacing w:after="0" w:line="259" w:lineRule="auto"/>
      <w:ind w:left="14" w:firstLine="0"/>
    </w:pP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8"/>
      </w:rPr>
      <w:t>1</w:t>
    </w:r>
    <w:r>
      <w:rPr>
        <w:i/>
        <w:sz w:val="18"/>
      </w:rPr>
      <w:fldChar w:fldCharType="end"/>
    </w:r>
    <w:r>
      <w:rPr>
        <w:i/>
        <w:sz w:val="18"/>
      </w:rPr>
      <w:t xml:space="preserve"> </w:t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3B50" w14:textId="77777777" w:rsidR="00C674AA" w:rsidRDefault="00C674AA">
      <w:pPr>
        <w:spacing w:after="0" w:line="240" w:lineRule="auto"/>
      </w:pPr>
      <w:r>
        <w:separator/>
      </w:r>
    </w:p>
  </w:footnote>
  <w:footnote w:type="continuationSeparator" w:id="0">
    <w:p w14:paraId="414CB8C3" w14:textId="77777777" w:rsidR="00C674AA" w:rsidRDefault="00C674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246E"/>
    <w:multiLevelType w:val="hybridMultilevel"/>
    <w:tmpl w:val="A19A1AF0"/>
    <w:lvl w:ilvl="0" w:tplc="DE585576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A2BD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4CC4D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6847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E68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342C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0E3E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E9D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2813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314421"/>
    <w:multiLevelType w:val="multilevel"/>
    <w:tmpl w:val="D57C8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436A88"/>
    <w:multiLevelType w:val="multilevel"/>
    <w:tmpl w:val="56906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112E26"/>
    <w:multiLevelType w:val="hybridMultilevel"/>
    <w:tmpl w:val="22C89D9C"/>
    <w:lvl w:ilvl="0" w:tplc="D6A2A062">
      <w:start w:val="1"/>
      <w:numFmt w:val="bullet"/>
      <w:lvlText w:val="•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01C5E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CF5CC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E2F996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20A1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A3C8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A6334C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6C472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62B76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33667E"/>
    <w:multiLevelType w:val="multilevel"/>
    <w:tmpl w:val="6C28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8154370">
    <w:abstractNumId w:val="3"/>
  </w:num>
  <w:num w:numId="2" w16cid:durableId="1043209614">
    <w:abstractNumId w:val="0"/>
  </w:num>
  <w:num w:numId="3" w16cid:durableId="365714630">
    <w:abstractNumId w:val="2"/>
  </w:num>
  <w:num w:numId="4" w16cid:durableId="1155341903">
    <w:abstractNumId w:val="1"/>
  </w:num>
  <w:num w:numId="5" w16cid:durableId="6346071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AzMDQ0MzM3NzYxNTFV0lEKTi0uzszPAykwqgUA6AZYsywAAAA="/>
  </w:docVars>
  <w:rsids>
    <w:rsidRoot w:val="00E13253"/>
    <w:rsid w:val="00004982"/>
    <w:rsid w:val="00005E09"/>
    <w:rsid w:val="00010F8C"/>
    <w:rsid w:val="00017BCB"/>
    <w:rsid w:val="0004095C"/>
    <w:rsid w:val="000A237C"/>
    <w:rsid w:val="000C1F06"/>
    <w:rsid w:val="000E56A4"/>
    <w:rsid w:val="00227CF2"/>
    <w:rsid w:val="002F7835"/>
    <w:rsid w:val="00396CEF"/>
    <w:rsid w:val="003B4D34"/>
    <w:rsid w:val="003D2BD4"/>
    <w:rsid w:val="003E4DC1"/>
    <w:rsid w:val="004256F2"/>
    <w:rsid w:val="00523E45"/>
    <w:rsid w:val="00542710"/>
    <w:rsid w:val="00571313"/>
    <w:rsid w:val="00575DFF"/>
    <w:rsid w:val="00610D8E"/>
    <w:rsid w:val="00617E4F"/>
    <w:rsid w:val="006431F0"/>
    <w:rsid w:val="00657F96"/>
    <w:rsid w:val="00696AC9"/>
    <w:rsid w:val="006A4942"/>
    <w:rsid w:val="00734DD0"/>
    <w:rsid w:val="00742750"/>
    <w:rsid w:val="007577E8"/>
    <w:rsid w:val="007A21EF"/>
    <w:rsid w:val="008522AF"/>
    <w:rsid w:val="00871FAA"/>
    <w:rsid w:val="008A0854"/>
    <w:rsid w:val="008E4B72"/>
    <w:rsid w:val="0090787F"/>
    <w:rsid w:val="00911F56"/>
    <w:rsid w:val="00957229"/>
    <w:rsid w:val="0097003D"/>
    <w:rsid w:val="00982909"/>
    <w:rsid w:val="009D1C00"/>
    <w:rsid w:val="009D7F77"/>
    <w:rsid w:val="00A5463E"/>
    <w:rsid w:val="00A66545"/>
    <w:rsid w:val="00AB5E50"/>
    <w:rsid w:val="00AD1910"/>
    <w:rsid w:val="00B43132"/>
    <w:rsid w:val="00B71BDE"/>
    <w:rsid w:val="00B7539A"/>
    <w:rsid w:val="00BF1212"/>
    <w:rsid w:val="00C22D69"/>
    <w:rsid w:val="00C47AAA"/>
    <w:rsid w:val="00C674AA"/>
    <w:rsid w:val="00CC23D8"/>
    <w:rsid w:val="00CE0DA9"/>
    <w:rsid w:val="00D01D65"/>
    <w:rsid w:val="00D22217"/>
    <w:rsid w:val="00D234CD"/>
    <w:rsid w:val="00D913B3"/>
    <w:rsid w:val="00DD77B9"/>
    <w:rsid w:val="00E13253"/>
    <w:rsid w:val="00E135A5"/>
    <w:rsid w:val="00E845D9"/>
    <w:rsid w:val="00EA5746"/>
    <w:rsid w:val="00EB07FA"/>
    <w:rsid w:val="00F7553A"/>
    <w:rsid w:val="00F81D3B"/>
    <w:rsid w:val="00FD12B3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780FB"/>
  <w15:docId w15:val="{6DAD5977-AF7A-4CBB-AE13-FEC1D949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384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"/>
      <w:ind w:left="24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eeba3c-c93c-4c5d-ba5d-211fc948652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9089187298F44AD5DBE00B0956698" ma:contentTypeVersion="17" ma:contentTypeDescription="Create a new document." ma:contentTypeScope="" ma:versionID="ea24aaab5bd1723d94aac178b44b0843">
  <xsd:schema xmlns:xsd="http://www.w3.org/2001/XMLSchema" xmlns:xs="http://www.w3.org/2001/XMLSchema" xmlns:p="http://schemas.microsoft.com/office/2006/metadata/properties" xmlns:ns3="96eeba3c-c93c-4c5d-ba5d-211fc9486521" xmlns:ns4="48416ba2-ca3e-4129-8ca7-c9ff3d0cc139" targetNamespace="http://schemas.microsoft.com/office/2006/metadata/properties" ma:root="true" ma:fieldsID="87f85f832ff1d451e41d43f7da88ae5e" ns3:_="" ns4:_="">
    <xsd:import namespace="96eeba3c-c93c-4c5d-ba5d-211fc9486521"/>
    <xsd:import namespace="48416ba2-ca3e-4129-8ca7-c9ff3d0cc1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eba3c-c93c-4c5d-ba5d-211fc94865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16ba2-ca3e-4129-8ca7-c9ff3d0cc1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2234DE-2427-491E-92CF-6287448F9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121036-5139-4FE5-BDF9-297ADA8A258C}">
  <ds:schemaRefs>
    <ds:schemaRef ds:uri="http://schemas.microsoft.com/office/2006/metadata/properties"/>
    <ds:schemaRef ds:uri="http://schemas.microsoft.com/office/infopath/2007/PartnerControls"/>
    <ds:schemaRef ds:uri="96eeba3c-c93c-4c5d-ba5d-211fc9486521"/>
  </ds:schemaRefs>
</ds:datastoreItem>
</file>

<file path=customXml/itemProps3.xml><?xml version="1.0" encoding="utf-8"?>
<ds:datastoreItem xmlns:ds="http://schemas.openxmlformats.org/officeDocument/2006/customXml" ds:itemID="{75D96FF2-E8FA-4F75-AE71-DC08BA825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eeba3c-c93c-4c5d-ba5d-211fc9486521"/>
    <ds:schemaRef ds:uri="48416ba2-ca3e-4129-8ca7-c9ff3d0cc1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BROMLEY COLLEGE OF FURTHER &amp; HIGHER EDUCATION</vt:lpstr>
    </vt:vector>
  </TitlesOfParts>
  <Company/>
  <LinksUpToDate>false</LinksUpToDate>
  <CharactersWithSpaces>9521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BROMLEY COLLEGE OF FURTHER &amp; HIGHER EDUCATION</dc:title>
  <dc:subject/>
  <dc:creator>brenda</dc:creator>
  <cp:keywords/>
  <cp:lastModifiedBy>Nneka Anyimukwu</cp:lastModifiedBy>
  <cp:revision>3</cp:revision>
  <dcterms:created xsi:type="dcterms:W3CDTF">2024-11-11T11:23:00Z</dcterms:created>
  <dcterms:modified xsi:type="dcterms:W3CDTF">2025-03-13T09:57:00Z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771b222b2283760653feddd934354c5c130b5298a380012ae6d70b7d0385776f</vt:lpwstr>
  </property>
  <property fmtid="{D5CDD505-2E9C-101B-9397-08002B2CF9AE}" pid="3" name="ContentTypeId">
    <vt:lpwstr>0x0101000409089187298F44AD5DBE00B0956698</vt:lpwstr>
  </property>
</Properties>
</file>